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tabs>
          <w:tab w:val="left" w:pos="1980"/>
        </w:tabs>
        <w:spacing w:after="0"/>
        <w:jc w:val="both"/>
        <w:rPr>
          <w:rFonts w:ascii="Times New Roman" w:hAnsi="Times New Roman" w:eastAsiaTheme="minorHAnsi" w:cstheme="minorBidi"/>
          <w:b/>
          <w:bCs/>
          <w:sz w:val="24"/>
          <w:szCs w:val="28"/>
          <w:lang w:val="en-US"/>
        </w:rPr>
      </w:pPr>
      <w:r>
        <w:rPr>
          <w:rFonts w:ascii="Times New Roman" w:hAnsi="Times New Roman" w:eastAsiaTheme="minorHAnsi"/>
          <w:b/>
          <w:bCs/>
          <w:sz w:val="24"/>
          <w:szCs w:val="28"/>
          <w:lang w:val="en-US"/>
        </w:rPr>
        <w:t xml:space="preserve">3GPP TSG RAN WG1 #113 </w:t>
      </w:r>
      <w:r>
        <w:rPr>
          <w:rFonts w:ascii="Times New Roman" w:hAnsi="Times New Roman" w:eastAsiaTheme="minorHAnsi" w:cstheme="minorBidi"/>
          <w:b/>
          <w:bCs/>
          <w:sz w:val="24"/>
          <w:szCs w:val="28"/>
          <w:lang w:val="en-US"/>
        </w:rPr>
        <w:tab/>
      </w:r>
      <w:r>
        <w:rPr>
          <w:rFonts w:ascii="Times New Roman" w:hAnsi="Times New Roman" w:eastAsiaTheme="minorHAnsi" w:cstheme="minorBidi"/>
          <w:b/>
          <w:bCs/>
          <w:sz w:val="24"/>
          <w:szCs w:val="28"/>
          <w:lang w:val="en-US"/>
        </w:rPr>
        <w:tab/>
      </w:r>
      <w:r>
        <w:rPr>
          <w:rFonts w:ascii="Times New Roman" w:hAnsi="Times New Roman" w:eastAsiaTheme="minorHAnsi" w:cstheme="minorBidi"/>
          <w:b/>
          <w:bCs/>
          <w:sz w:val="24"/>
          <w:szCs w:val="28"/>
          <w:lang w:val="en-US"/>
        </w:rPr>
        <w:t xml:space="preserve">                                    </w:t>
      </w:r>
      <w:r>
        <w:rPr>
          <w:rFonts w:ascii="Times New Roman" w:hAnsi="Times New Roman" w:eastAsiaTheme="minorHAnsi" w:cstheme="minorBidi"/>
          <w:b/>
          <w:bCs/>
          <w:sz w:val="24"/>
          <w:szCs w:val="28"/>
          <w:lang w:val="en-US"/>
        </w:rPr>
        <w:tab/>
      </w:r>
      <w:r>
        <w:rPr>
          <w:rFonts w:ascii="Times New Roman" w:hAnsi="Times New Roman" w:eastAsiaTheme="minorHAnsi" w:cstheme="minorBidi"/>
          <w:b/>
          <w:bCs/>
          <w:sz w:val="24"/>
          <w:szCs w:val="28"/>
          <w:lang w:val="en-US"/>
        </w:rPr>
        <w:tab/>
      </w:r>
      <w:r>
        <w:rPr>
          <w:rFonts w:ascii="Times New Roman" w:hAnsi="Times New Roman" w:eastAsiaTheme="minorHAnsi"/>
          <w:b/>
          <w:bCs/>
          <w:sz w:val="24"/>
          <w:szCs w:val="24"/>
          <w:lang w:val="en-US"/>
        </w:rPr>
        <w:t xml:space="preserve">       R1-</w:t>
      </w:r>
      <w:r>
        <w:rPr>
          <w:rFonts w:hint="eastAsia" w:ascii="Times New Roman" w:hAnsi="Times New Roman" w:eastAsiaTheme="minorHAnsi"/>
          <w:b/>
          <w:bCs/>
          <w:sz w:val="24"/>
          <w:szCs w:val="24"/>
          <w:lang w:val="en-US"/>
        </w:rPr>
        <w:t>2306213</w:t>
      </w:r>
      <w:bookmarkStart w:id="0" w:name="_GoBack"/>
      <w:bookmarkEnd w:id="0"/>
    </w:p>
    <w:p>
      <w:pPr>
        <w:pStyle w:val="16"/>
        <w:tabs>
          <w:tab w:val="left" w:pos="1980"/>
        </w:tabs>
        <w:jc w:val="both"/>
        <w:rPr>
          <w:rFonts w:ascii="Times New Roman" w:hAnsi="Times New Roman" w:eastAsiaTheme="minorHAnsi"/>
          <w:b/>
          <w:bCs/>
          <w:sz w:val="24"/>
          <w:szCs w:val="28"/>
          <w:lang w:val="en-US"/>
        </w:rPr>
      </w:pPr>
      <w:r>
        <w:rPr>
          <w:rFonts w:ascii="Times New Roman" w:hAnsi="Times New Roman" w:eastAsiaTheme="minorHAnsi"/>
          <w:b/>
          <w:bCs/>
          <w:sz w:val="24"/>
          <w:szCs w:val="28"/>
          <w:lang w:val="en-US"/>
        </w:rPr>
        <w:t>Incheon, Korea, May 22nd – May 26th, 2023</w:t>
      </w:r>
    </w:p>
    <w:p/>
    <w:p>
      <w:pPr>
        <w:pStyle w:val="5"/>
        <w:spacing w:before="120"/>
        <w:ind w:left="1710"/>
        <w:rPr>
          <w:rFonts w:hint="default" w:eastAsia="等线"/>
          <w:lang w:val="en-US" w:eastAsia="zh-CN"/>
        </w:rPr>
      </w:pPr>
      <w:r>
        <w:t>Title:</w:t>
      </w:r>
      <w:r>
        <w:tab/>
      </w:r>
      <w:r>
        <w:t xml:space="preserve">Draft </w:t>
      </w:r>
      <w:r>
        <w:rPr>
          <w:rFonts w:eastAsia="等线"/>
        </w:rPr>
        <w:t xml:space="preserve">LS to RAN2 on </w:t>
      </w:r>
      <w:r>
        <w:rPr>
          <w:rFonts w:hint="eastAsia" w:eastAsia="等线"/>
          <w:lang w:val="en-US" w:eastAsia="zh-CN"/>
        </w:rPr>
        <w:t>SRS bandwidth aggregation for positioning</w:t>
      </w:r>
    </w:p>
    <w:p>
      <w:pPr>
        <w:pStyle w:val="5"/>
        <w:spacing w:before="120"/>
        <w:ind w:left="1710"/>
      </w:pPr>
      <w:r>
        <w:t>Response to:</w:t>
      </w:r>
      <w:r>
        <w:tab/>
      </w:r>
    </w:p>
    <w:p>
      <w:pPr>
        <w:spacing w:after="60"/>
        <w:ind w:left="1710" w:hanging="1710"/>
        <w:rPr>
          <w:rFonts w:ascii="Arial" w:hAnsi="Arial" w:eastAsia="等线" w:cs="Arial"/>
          <w:bCs/>
        </w:rPr>
      </w:pPr>
      <w:r>
        <w:rPr>
          <w:rFonts w:ascii="Arial" w:hAnsi="Arial" w:eastAsia="等线" w:cs="Arial"/>
          <w:b/>
        </w:rPr>
        <w:t>Release:</w:t>
      </w:r>
      <w:r>
        <w:rPr>
          <w:rFonts w:ascii="Arial" w:hAnsi="Arial" w:eastAsia="等线" w:cs="Arial"/>
          <w:bCs/>
        </w:rPr>
        <w:tab/>
      </w:r>
      <w:r>
        <w:rPr>
          <w:rFonts w:ascii="Arial" w:hAnsi="Arial" w:eastAsia="等线" w:cs="Arial"/>
          <w:b/>
          <w:bCs/>
        </w:rPr>
        <w:t>Rel-18</w:t>
      </w:r>
    </w:p>
    <w:p>
      <w:pPr>
        <w:pStyle w:val="5"/>
        <w:spacing w:before="0"/>
        <w:ind w:left="1710"/>
        <w:rPr>
          <w:color w:val="000000"/>
        </w:rPr>
      </w:pPr>
      <w:r>
        <w:t>Work Item:</w:t>
      </w:r>
      <w:r>
        <w:tab/>
      </w:r>
      <w:r>
        <w:t>NR_pos_enh2</w:t>
      </w:r>
    </w:p>
    <w:p>
      <w:pPr>
        <w:pStyle w:val="11"/>
        <w:spacing w:before="240"/>
        <w:ind w:left="1710" w:hanging="1710"/>
        <w:rPr>
          <w:b w:val="0"/>
        </w:rPr>
      </w:pPr>
      <w:r>
        <w:t>Source:</w:t>
      </w:r>
      <w:r>
        <w:tab/>
      </w:r>
      <w:r>
        <w:rPr>
          <w:rFonts w:hint="eastAsia"/>
        </w:rPr>
        <w:t>RAN</w:t>
      </w:r>
      <w:r>
        <w:t xml:space="preserve"> WG1</w:t>
      </w:r>
    </w:p>
    <w:p>
      <w:pPr>
        <w:pStyle w:val="11"/>
        <w:ind w:left="1710" w:hanging="1710"/>
      </w:pPr>
      <w:r>
        <w:t>To:</w:t>
      </w:r>
      <w:r>
        <w:tab/>
      </w:r>
      <w:r>
        <w:t>RAN WG2</w:t>
      </w:r>
    </w:p>
    <w:p>
      <w:pPr>
        <w:pStyle w:val="11"/>
        <w:ind w:left="1710" w:hanging="1710"/>
        <w:rPr>
          <w:lang w:val="en-US"/>
        </w:rPr>
      </w:pPr>
      <w:r>
        <w:rPr>
          <w:lang w:val="en-US"/>
        </w:rPr>
        <w:t>Cc:</w:t>
      </w:r>
      <w:r>
        <w:rPr>
          <w:lang w:val="en-US"/>
        </w:rPr>
        <w:tab/>
      </w:r>
    </w:p>
    <w:p>
      <w:pPr>
        <w:tabs>
          <w:tab w:val="left" w:pos="2268"/>
        </w:tabs>
        <w:spacing w:before="24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>
      <w:pPr>
        <w:pStyle w:val="12"/>
        <w:tabs>
          <w:tab w:val="clear" w:pos="2268"/>
        </w:tabs>
        <w:rPr>
          <w:rFonts w:hint="default" w:eastAsia="宋体"/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hint="eastAsia" w:eastAsia="宋体"/>
          <w:b w:val="0"/>
          <w:lang w:val="en-US" w:eastAsia="zh-CN"/>
        </w:rPr>
        <w:t>Chuangxin Jiang</w:t>
      </w:r>
    </w:p>
    <w:p>
      <w:pPr>
        <w:pStyle w:val="12"/>
        <w:tabs>
          <w:tab w:val="clear" w:pos="2268"/>
        </w:tabs>
        <w:rPr>
          <w:rFonts w:hint="default" w:eastAsia="宋体"/>
          <w:bCs/>
          <w:lang w:val="en-US" w:eastAsia="zh-CN"/>
        </w:rPr>
      </w:pPr>
      <w:r>
        <w:rPr>
          <w:lang w:val="en-US"/>
        </w:rPr>
        <w:t>E-mail Address:</w:t>
      </w:r>
      <w:r>
        <w:rPr>
          <w:bCs/>
          <w:lang w:val="en-US"/>
        </w:rPr>
        <w:tab/>
      </w:r>
      <w:r>
        <w:rPr>
          <w:rFonts w:hint="eastAsia" w:eastAsia="宋体"/>
          <w:b w:val="0"/>
          <w:lang w:val="en-US" w:eastAsia="zh-CN"/>
        </w:rPr>
        <w:fldChar w:fldCharType="begin"/>
      </w:r>
      <w:r>
        <w:rPr>
          <w:rFonts w:hint="eastAsia" w:eastAsia="宋体"/>
          <w:b w:val="0"/>
          <w:lang w:val="en-US" w:eastAsia="zh-CN"/>
        </w:rPr>
        <w:instrText xml:space="preserve"> HYPERLINK "mailto:jiang.chuangxin1@zte.com.cn" </w:instrText>
      </w:r>
      <w:r>
        <w:rPr>
          <w:rFonts w:hint="eastAsia" w:eastAsia="宋体"/>
          <w:b w:val="0"/>
          <w:lang w:val="en-US" w:eastAsia="zh-CN"/>
        </w:rPr>
        <w:fldChar w:fldCharType="separate"/>
      </w:r>
      <w:r>
        <w:rPr>
          <w:rStyle w:val="9"/>
          <w:rFonts w:hint="eastAsia" w:eastAsia="宋体"/>
          <w:b w:val="0"/>
          <w:lang w:val="en-US" w:eastAsia="zh-CN"/>
        </w:rPr>
        <w:t>jiang.chuangxin1@zte.com.cn</w:t>
      </w:r>
      <w:r>
        <w:rPr>
          <w:rFonts w:hint="eastAsia" w:eastAsia="宋体"/>
          <w:b w:val="0"/>
          <w:lang w:val="en-US" w:eastAsia="zh-CN"/>
        </w:rPr>
        <w:fldChar w:fldCharType="end"/>
      </w:r>
      <w:r>
        <w:rPr>
          <w:rFonts w:hint="eastAsia" w:eastAsia="宋体"/>
          <w:b w:val="0"/>
          <w:lang w:val="en-US" w:eastAsia="zh-CN"/>
        </w:rPr>
        <w:t xml:space="preserve"> </w:t>
      </w:r>
    </w:p>
    <w:p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9"/>
          <w:rFonts w:ascii="Arial" w:hAnsi="Arial" w:cs="Arial"/>
          <w:b/>
        </w:rPr>
        <w:t>mailto:3GPPLiaison@etsi.org</w:t>
      </w:r>
      <w:r>
        <w:rPr>
          <w:rStyle w:val="9"/>
          <w:rFonts w:ascii="Arial" w:hAnsi="Arial" w:cs="Arial"/>
          <w:b/>
        </w:rPr>
        <w:fldChar w:fldCharType="end"/>
      </w:r>
    </w:p>
    <w:p>
      <w:pPr>
        <w:pStyle w:val="5"/>
        <w:spacing w:before="120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With regard to SRS bandwidth aggregation for NR positioning, RAN1 made the following working assumption, and would like RAN2 to check the feasibility. </w:t>
      </w:r>
    </w:p>
    <w:p>
      <w:pPr>
        <w:rPr>
          <w:lang w:eastAsia="ko-KR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</w:tcPr>
          <w:p>
            <w:pPr>
              <w:pStyle w:val="1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 w:firstLine="0"/>
              <w:rPr>
                <w:rFonts w:hint="eastAsia" w:ascii="Times New Roman" w:hAnsi="Times New Roman" w:cs="Times New Roman"/>
                <w:b/>
                <w:sz w:val="20"/>
                <w:szCs w:val="20"/>
              </w:rPr>
            </w:pP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eastAsia="Batang" w:cs="Times New Roman"/>
                <w:b/>
                <w:bCs/>
                <w:kern w:val="0"/>
                <w:sz w:val="20"/>
                <w:szCs w:val="20"/>
                <w:highlight w:val="darkYellow"/>
                <w:lang w:val="en-US" w:eastAsia="zh-CN" w:bidi="ar"/>
              </w:rPr>
              <w:t>Working assumption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</w:p>
          <w:p>
            <w:pPr>
              <w:pStyle w:val="22"/>
              <w:widowControl/>
              <w:snapToGrid w:val="0"/>
              <w:spacing w:before="0" w:beforeAutospacing="0" w:after="0" w:afterAutospacing="0"/>
              <w:ind w:left="0" w:leftChars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For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semi-persistent positioning SRS for bandwidth aggregation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, a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 xml:space="preserve">single MAC CE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can activate or deactivate:</w:t>
            </w:r>
          </w:p>
          <w:p>
            <w:pPr>
              <w:pStyle w:val="4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spacing w:before="0" w:beforeAutospacing="1" w:after="0" w:afterAutospacing="1"/>
              <w:ind w:left="720" w:leftChars="0" w:right="0" w:hanging="360"/>
              <w:contextualSpacing/>
              <w:jc w:val="both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SRS resource set(s) in one or two or three of three aggregated carriers</w:t>
            </w:r>
          </w:p>
          <w:p>
            <w:pPr>
              <w:pStyle w:val="4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spacing w:before="0" w:beforeAutospacing="1" w:after="0" w:afterAutospacing="1"/>
              <w:ind w:left="720" w:leftChars="0" w:right="0" w:hanging="360"/>
              <w:contextualSpacing/>
              <w:jc w:val="both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SRS resource set(s) in one or two of two aggregated carriers.</w:t>
            </w: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Note: the single spatial relation is indicated by the MAC CE for each of two or three aggregated SRS resources.</w:t>
            </w: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Send an LS to RAN2 to confirm the feasibility.</w:t>
            </w:r>
          </w:p>
          <w:p>
            <w:pPr>
              <w:pStyle w:val="1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 w:firstLine="0"/>
              <w:rPr>
                <w:rFonts w:hint="eastAsia"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>
      <w:pPr>
        <w:pStyle w:val="14"/>
        <w:ind w:left="0" w:firstLine="0"/>
        <w:rPr>
          <w:rFonts w:ascii="Times New Roman" w:hAnsi="Times New Roman" w:cs="Times New Roman"/>
          <w:b/>
          <w:sz w:val="20"/>
          <w:szCs w:val="20"/>
        </w:rPr>
      </w:pPr>
    </w:p>
    <w:p>
      <w:pPr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r>
        <w:rPr>
          <w:b/>
          <w:bCs/>
          <w:lang w:val="en-US" w:eastAsia="zh-CN"/>
        </w:rPr>
        <w:t>To RAN2:</w:t>
      </w:r>
    </w:p>
    <w:p>
      <w:pPr>
        <w:spacing w:before="120"/>
      </w:pPr>
      <w:r>
        <w:rPr>
          <w:b/>
          <w:bCs/>
        </w:rPr>
        <w:t>ACTION:</w:t>
      </w:r>
      <w:r>
        <w:t xml:space="preserve"> RAN1 respectfully asks RAN2 to </w:t>
      </w:r>
      <w:r>
        <w:rPr>
          <w:rFonts w:hint="eastAsia" w:eastAsia="宋体"/>
          <w:lang w:val="en-US" w:eastAsia="zh-CN"/>
        </w:rPr>
        <w:t xml:space="preserve">check the feasibility of the working assumption and </w:t>
      </w:r>
      <w:r>
        <w:t>take the above information into account</w:t>
      </w:r>
      <w:r>
        <w:rPr>
          <w:rFonts w:hint="eastAsia" w:eastAsia="宋体"/>
          <w:lang w:val="en-US" w:eastAsia="zh-CN"/>
        </w:rPr>
        <w:t xml:space="preserve"> for their future work</w:t>
      </w:r>
      <w:r>
        <w:t>.</w:t>
      </w:r>
    </w:p>
    <w:p>
      <w:pPr>
        <w:rPr>
          <w:rFonts w:ascii="Arial" w:hAnsi="Arial" w:cs="Arial"/>
          <w:color w:val="000000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RAN1 Meetings:</w:t>
      </w:r>
    </w:p>
    <w:p>
      <w:pPr>
        <w:rPr>
          <w:rFonts w:ascii="Arial" w:hAnsi="Arial" w:cs="Arial"/>
          <w:bCs/>
          <w:lang w:val="sv-SE"/>
        </w:rPr>
      </w:pPr>
      <w:r>
        <w:t xml:space="preserve">TSG RAN WG1 Meeting #114              21 August – 25 August, 2023        </w:t>
      </w:r>
      <w:r>
        <w:rPr>
          <w:bCs/>
          <w:lang w:val="en-US"/>
        </w:rPr>
        <w:t>Toulouse, France</w:t>
      </w:r>
    </w:p>
    <w:p>
      <w:r>
        <w:t xml:space="preserve">TSG RAN WG1 Meeting #114b            9 Oct. – 13 Oct., 2023        </w:t>
      </w:r>
      <w:r>
        <w:rPr>
          <w:bCs/>
          <w:lang w:val="en-US"/>
        </w:rPr>
        <w:t>Xiamen, China</w:t>
      </w:r>
    </w:p>
    <w:p>
      <w:pPr>
        <w:rPr>
          <w:b/>
          <w:bCs/>
          <w:highlight w:val="yellow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>
      <w:pPr>
        <w:rPr>
          <w:lang w:val="sv-SE"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游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Yu Gothic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">
    <w:altName w:val="Times New Roman"/>
    <w:panose1 w:val="02020603050405020304"/>
    <w:charset w:val="00"/>
    <w:family w:val="auto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53C483"/>
    <w:multiLevelType w:val="multilevel"/>
    <w:tmpl w:val="2C53C483"/>
    <w:lvl w:ilvl="0" w:tentative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720"/>
  <w:displayHorizontalDrawingGridEvery w:val="1"/>
  <w:displayVerticalDrawingGridEvery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40B"/>
    <w:rsid w:val="00006FCE"/>
    <w:rsid w:val="00013871"/>
    <w:rsid w:val="000668F1"/>
    <w:rsid w:val="000C61AE"/>
    <w:rsid w:val="000D18E5"/>
    <w:rsid w:val="000E04A6"/>
    <w:rsid w:val="000E6A41"/>
    <w:rsid w:val="000F3A5E"/>
    <w:rsid w:val="00111853"/>
    <w:rsid w:val="00120122"/>
    <w:rsid w:val="00161C92"/>
    <w:rsid w:val="00180D63"/>
    <w:rsid w:val="001853FB"/>
    <w:rsid w:val="0019442B"/>
    <w:rsid w:val="001F1EDA"/>
    <w:rsid w:val="001F2542"/>
    <w:rsid w:val="001F4F4E"/>
    <w:rsid w:val="0021323C"/>
    <w:rsid w:val="00213EA7"/>
    <w:rsid w:val="0021540B"/>
    <w:rsid w:val="00222E15"/>
    <w:rsid w:val="00232757"/>
    <w:rsid w:val="0023460F"/>
    <w:rsid w:val="00240860"/>
    <w:rsid w:val="00250744"/>
    <w:rsid w:val="00253D37"/>
    <w:rsid w:val="00282252"/>
    <w:rsid w:val="002D345D"/>
    <w:rsid w:val="002D3634"/>
    <w:rsid w:val="002E59EE"/>
    <w:rsid w:val="002F72B7"/>
    <w:rsid w:val="00343A2E"/>
    <w:rsid w:val="00376EEF"/>
    <w:rsid w:val="00376F79"/>
    <w:rsid w:val="003A3D43"/>
    <w:rsid w:val="00407EC4"/>
    <w:rsid w:val="0045548F"/>
    <w:rsid w:val="00465D4C"/>
    <w:rsid w:val="0048653A"/>
    <w:rsid w:val="004910FF"/>
    <w:rsid w:val="00494EE7"/>
    <w:rsid w:val="00496BE4"/>
    <w:rsid w:val="004B42B8"/>
    <w:rsid w:val="004B667B"/>
    <w:rsid w:val="004B78EB"/>
    <w:rsid w:val="004C3A8A"/>
    <w:rsid w:val="00500835"/>
    <w:rsid w:val="00511764"/>
    <w:rsid w:val="00540B30"/>
    <w:rsid w:val="005606E9"/>
    <w:rsid w:val="005872C0"/>
    <w:rsid w:val="005935B5"/>
    <w:rsid w:val="005A38B9"/>
    <w:rsid w:val="005E7BAC"/>
    <w:rsid w:val="00606532"/>
    <w:rsid w:val="006159D1"/>
    <w:rsid w:val="00655916"/>
    <w:rsid w:val="00664411"/>
    <w:rsid w:val="0069079B"/>
    <w:rsid w:val="00690A05"/>
    <w:rsid w:val="006A7512"/>
    <w:rsid w:val="006D003D"/>
    <w:rsid w:val="006D021E"/>
    <w:rsid w:val="006E75EB"/>
    <w:rsid w:val="0070446D"/>
    <w:rsid w:val="007166B2"/>
    <w:rsid w:val="0074622D"/>
    <w:rsid w:val="00746A9C"/>
    <w:rsid w:val="00757FC0"/>
    <w:rsid w:val="00763329"/>
    <w:rsid w:val="00770348"/>
    <w:rsid w:val="0078032E"/>
    <w:rsid w:val="0079168C"/>
    <w:rsid w:val="007C794C"/>
    <w:rsid w:val="007D6317"/>
    <w:rsid w:val="007E4A18"/>
    <w:rsid w:val="00805200"/>
    <w:rsid w:val="0081138E"/>
    <w:rsid w:val="00813200"/>
    <w:rsid w:val="00832E61"/>
    <w:rsid w:val="00835A5C"/>
    <w:rsid w:val="00857394"/>
    <w:rsid w:val="00865015"/>
    <w:rsid w:val="008B2CDD"/>
    <w:rsid w:val="008B5037"/>
    <w:rsid w:val="008B733E"/>
    <w:rsid w:val="008C3AFB"/>
    <w:rsid w:val="008D2239"/>
    <w:rsid w:val="008D2600"/>
    <w:rsid w:val="008E00C8"/>
    <w:rsid w:val="008E3669"/>
    <w:rsid w:val="008E58B7"/>
    <w:rsid w:val="008F1453"/>
    <w:rsid w:val="00911A88"/>
    <w:rsid w:val="00920953"/>
    <w:rsid w:val="00952B9A"/>
    <w:rsid w:val="00957B8E"/>
    <w:rsid w:val="00976370"/>
    <w:rsid w:val="00990940"/>
    <w:rsid w:val="009A0369"/>
    <w:rsid w:val="009A0D71"/>
    <w:rsid w:val="009B7B07"/>
    <w:rsid w:val="009E2819"/>
    <w:rsid w:val="009E6687"/>
    <w:rsid w:val="009F1B56"/>
    <w:rsid w:val="00A0394D"/>
    <w:rsid w:val="00A04E44"/>
    <w:rsid w:val="00A21EE4"/>
    <w:rsid w:val="00A259B9"/>
    <w:rsid w:val="00A270E5"/>
    <w:rsid w:val="00AB3DAE"/>
    <w:rsid w:val="00AC0B35"/>
    <w:rsid w:val="00AF01A2"/>
    <w:rsid w:val="00AF1096"/>
    <w:rsid w:val="00B061CA"/>
    <w:rsid w:val="00B2529D"/>
    <w:rsid w:val="00B84499"/>
    <w:rsid w:val="00BA4FEA"/>
    <w:rsid w:val="00BC41D4"/>
    <w:rsid w:val="00C20244"/>
    <w:rsid w:val="00C2124C"/>
    <w:rsid w:val="00C35FC4"/>
    <w:rsid w:val="00C51A20"/>
    <w:rsid w:val="00C54696"/>
    <w:rsid w:val="00C77B30"/>
    <w:rsid w:val="00C96B40"/>
    <w:rsid w:val="00CE74EC"/>
    <w:rsid w:val="00D116A9"/>
    <w:rsid w:val="00D25CE1"/>
    <w:rsid w:val="00D54705"/>
    <w:rsid w:val="00D5662D"/>
    <w:rsid w:val="00D7168D"/>
    <w:rsid w:val="00DB2460"/>
    <w:rsid w:val="00DE4789"/>
    <w:rsid w:val="00DF3097"/>
    <w:rsid w:val="00E078A3"/>
    <w:rsid w:val="00E25AB5"/>
    <w:rsid w:val="00E343F4"/>
    <w:rsid w:val="00E4212E"/>
    <w:rsid w:val="00E500A5"/>
    <w:rsid w:val="00E716B4"/>
    <w:rsid w:val="00E71C9E"/>
    <w:rsid w:val="00EB094B"/>
    <w:rsid w:val="00EE292E"/>
    <w:rsid w:val="00F26245"/>
    <w:rsid w:val="00F349EB"/>
    <w:rsid w:val="00F970C9"/>
    <w:rsid w:val="00FA4679"/>
    <w:rsid w:val="00FB49CF"/>
    <w:rsid w:val="00FB6B13"/>
    <w:rsid w:val="02D3713D"/>
    <w:rsid w:val="060B63F9"/>
    <w:rsid w:val="09806D25"/>
    <w:rsid w:val="0A7F71B7"/>
    <w:rsid w:val="101B45FA"/>
    <w:rsid w:val="154A777B"/>
    <w:rsid w:val="1D6C2F8E"/>
    <w:rsid w:val="21496AE3"/>
    <w:rsid w:val="26231396"/>
    <w:rsid w:val="27B21C93"/>
    <w:rsid w:val="2A4D5E68"/>
    <w:rsid w:val="2CF62FD3"/>
    <w:rsid w:val="38FC4C86"/>
    <w:rsid w:val="3E253713"/>
    <w:rsid w:val="3F98775E"/>
    <w:rsid w:val="417C2934"/>
    <w:rsid w:val="4A606D15"/>
    <w:rsid w:val="5EB012E9"/>
    <w:rsid w:val="600C0E72"/>
    <w:rsid w:val="66F7170F"/>
    <w:rsid w:val="6C7B5238"/>
    <w:rsid w:val="77C80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Malgun Gothic" w:hAnsi="Malgun Gothic" w:eastAsia="Malgun Gothic" w:cs="Malgun Gothic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cs="Times New Roman" w:eastAsiaTheme="minorEastAsia"/>
      <w:sz w:val="20"/>
      <w:szCs w:val="20"/>
      <w:lang w:val="en-GB" w:eastAsia="en-US" w:bidi="ar-SA"/>
    </w:rPr>
  </w:style>
  <w:style w:type="paragraph" w:styleId="2">
    <w:name w:val="heading 4"/>
    <w:basedOn w:val="1"/>
    <w:next w:val="1"/>
    <w:link w:val="15"/>
    <w:semiHidden/>
    <w:unhideWhenUsed/>
    <w:qFormat/>
    <w:uiPriority w:val="9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Malgun Gothic" w:hAnsi="Malgun Gothic" w:eastAsia="Malgun Gothic" w:cs="Malgun Gothic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link w:val="20"/>
    <w:unhideWhenUsed/>
    <w:qFormat/>
    <w:uiPriority w:val="99"/>
    <w:pPr>
      <w:tabs>
        <w:tab w:val="center" w:pos="4680"/>
        <w:tab w:val="right" w:pos="9360"/>
      </w:tabs>
      <w:jc w:val="both"/>
    </w:pPr>
    <w:rPr>
      <w:rFonts w:cstheme="minorBidi"/>
      <w:sz w:val="22"/>
      <w:szCs w:val="22"/>
      <w:lang w:val="en-US" w:eastAsia="ja-JP"/>
    </w:rPr>
  </w:style>
  <w:style w:type="paragraph" w:styleId="4">
    <w:name w:val="Normal (Web)"/>
    <w:basedOn w:val="1"/>
    <w:semiHidden/>
    <w:unhideWhenUsed/>
    <w:qFormat/>
    <w:uiPriority w:val="99"/>
    <w:rPr>
      <w:sz w:val="24"/>
    </w:rPr>
  </w:style>
  <w:style w:type="paragraph" w:styleId="5">
    <w:name w:val="Title"/>
    <w:basedOn w:val="1"/>
    <w:next w:val="1"/>
    <w:link w:val="10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table" w:styleId="7">
    <w:name w:val="Table Grid"/>
    <w:basedOn w:val="6"/>
    <w:qFormat/>
    <w:uiPriority w:val="39"/>
    <w:pPr>
      <w:spacing w:after="0" w:line="240" w:lineRule="auto"/>
    </w:pPr>
    <w:rPr>
      <w:sz w:val="20"/>
      <w:szCs w:val="20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unhideWhenUsed/>
    <w:qFormat/>
    <w:uiPriority w:val="99"/>
    <w:rPr>
      <w:color w:val="0000FF"/>
      <w:u w:val="single"/>
    </w:rPr>
  </w:style>
  <w:style w:type="character" w:customStyle="1" w:styleId="10">
    <w:name w:val="Title Char"/>
    <w:basedOn w:val="8"/>
    <w:link w:val="5"/>
    <w:qFormat/>
    <w:uiPriority w:val="10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11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2">
    <w:name w:val="Contact"/>
    <w:basedOn w:val="2"/>
    <w:qFormat/>
    <w:uiPriority w:val="0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hAnsi="Arial" w:cs="Arial" w:eastAsiaTheme="minorEastAsia"/>
      <w:b/>
      <w:i w:val="0"/>
      <w:iCs w:val="0"/>
      <w:color w:val="auto"/>
    </w:rPr>
  </w:style>
  <w:style w:type="character" w:customStyle="1" w:styleId="13">
    <w:name w:val="Doc-text2 Char"/>
    <w:link w:val="14"/>
    <w:qFormat/>
    <w:locked/>
    <w:uiPriority w:val="0"/>
    <w:rPr>
      <w:rFonts w:ascii="Arial" w:hAnsi="Arial" w:eastAsia="MS Mincho" w:cs="Arial"/>
      <w:szCs w:val="24"/>
    </w:rPr>
  </w:style>
  <w:style w:type="paragraph" w:customStyle="1" w:styleId="14">
    <w:name w:val="Doc-text2"/>
    <w:basedOn w:val="1"/>
    <w:link w:val="13"/>
    <w:qFormat/>
    <w:uiPriority w:val="0"/>
    <w:pPr>
      <w:tabs>
        <w:tab w:val="left" w:pos="1622"/>
      </w:tabs>
      <w:ind w:left="1622" w:hanging="363"/>
    </w:pPr>
    <w:rPr>
      <w:rFonts w:ascii="Arial" w:hAnsi="Arial" w:eastAsia="MS Mincho" w:cs="Arial"/>
      <w:sz w:val="22"/>
      <w:szCs w:val="24"/>
      <w:lang w:val="en-US" w:eastAsia="ja-JP"/>
    </w:rPr>
  </w:style>
  <w:style w:type="character" w:customStyle="1" w:styleId="15">
    <w:name w:val="Heading 4 Char"/>
    <w:basedOn w:val="8"/>
    <w:link w:val="2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  <w:szCs w:val="20"/>
      <w:lang w:val="en-GB" w:eastAsia="en-US"/>
    </w:rPr>
  </w:style>
  <w:style w:type="paragraph" w:customStyle="1" w:styleId="16">
    <w:name w:val="CR Cover Page"/>
    <w:qFormat/>
    <w:uiPriority w:val="0"/>
    <w:pPr>
      <w:spacing w:after="120" w:line="240" w:lineRule="auto"/>
    </w:pPr>
    <w:rPr>
      <w:rFonts w:ascii="Arial" w:hAnsi="Arial" w:eastAsia="MS Mincho" w:cs="Times New Roman"/>
      <w:sz w:val="20"/>
      <w:szCs w:val="20"/>
      <w:lang w:val="en-GB" w:eastAsia="en-US" w:bidi="ar-SA"/>
    </w:rPr>
  </w:style>
  <w:style w:type="paragraph" w:styleId="17">
    <w:name w:val="List Paragraph"/>
    <w:basedOn w:val="1"/>
    <w:link w:val="18"/>
    <w:qFormat/>
    <w:uiPriority w:val="34"/>
    <w:pPr>
      <w:ind w:left="720"/>
      <w:jc w:val="both"/>
    </w:pPr>
    <w:rPr>
      <w:rFonts w:eastAsia="Calibri" w:cstheme="minorBidi"/>
      <w:sz w:val="22"/>
      <w:szCs w:val="24"/>
      <w:lang w:val="en-US" w:eastAsia="ja-JP"/>
    </w:rPr>
  </w:style>
  <w:style w:type="character" w:customStyle="1" w:styleId="18">
    <w:name w:val="List Paragraph Char"/>
    <w:link w:val="17"/>
    <w:qFormat/>
    <w:uiPriority w:val="34"/>
    <w:rPr>
      <w:rFonts w:ascii="Times New Roman" w:hAnsi="Times New Roman" w:eastAsia="Calibri"/>
      <w:szCs w:val="24"/>
    </w:rPr>
  </w:style>
  <w:style w:type="paragraph" w:customStyle="1" w:styleId="19">
    <w:name w:val="Revision"/>
    <w:hidden/>
    <w:semiHidden/>
    <w:qFormat/>
    <w:uiPriority w:val="99"/>
    <w:pPr>
      <w:spacing w:after="0" w:line="240" w:lineRule="auto"/>
    </w:pPr>
    <w:rPr>
      <w:rFonts w:ascii="Times New Roman" w:hAnsi="Times New Roman" w:cs="Times New Roman" w:eastAsiaTheme="minorEastAsia"/>
      <w:sz w:val="20"/>
      <w:szCs w:val="20"/>
      <w:lang w:val="en-GB" w:eastAsia="en-US" w:bidi="ar-SA"/>
    </w:rPr>
  </w:style>
  <w:style w:type="character" w:customStyle="1" w:styleId="20">
    <w:name w:val="Header Char"/>
    <w:basedOn w:val="8"/>
    <w:link w:val="3"/>
    <w:qFormat/>
    <w:uiPriority w:val="99"/>
    <w:rPr>
      <w:rFonts w:ascii="Times New Roman" w:hAnsi="Times New Roman"/>
    </w:rPr>
  </w:style>
  <w:style w:type="character" w:customStyle="1" w:styleId="21">
    <w:name w:val="列表段落 字符1"/>
    <w:basedOn w:val="8"/>
    <w:link w:val="22"/>
    <w:qFormat/>
    <w:uiPriority w:val="0"/>
    <w:rPr>
      <w:rFonts w:hint="default" w:ascii="Times" w:hAnsi="Times" w:eastAsia="Batang" w:cs="Times"/>
      <w:szCs w:val="24"/>
      <w:lang w:val="en-US"/>
    </w:rPr>
  </w:style>
  <w:style w:type="paragraph" w:customStyle="1" w:styleId="22">
    <w:name w:val="列表段落"/>
    <w:basedOn w:val="1"/>
    <w:link w:val="21"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840" w:leftChars="400" w:right="0"/>
      <w:jc w:val="left"/>
    </w:pPr>
    <w:rPr>
      <w:rFonts w:hint="default" w:ascii="Times" w:hAnsi="Times" w:eastAsia="Batang" w:cs="Times New Roman"/>
      <w:kern w:val="0"/>
      <w:sz w:val="20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F4C07F-7120-4F08-8897-F007A5CC1241}">
  <ds:schemaRefs/>
</ds:datastoreItem>
</file>

<file path=customXml/itemProps2.xml><?xml version="1.0" encoding="utf-8"?>
<ds:datastoreItem xmlns:ds="http://schemas.openxmlformats.org/officeDocument/2006/customXml" ds:itemID="{5380E153-F542-4A5A-B8DE-3F658A1FC618}">
  <ds:schemaRefs/>
</ds:datastoreItem>
</file>

<file path=customXml/itemProps3.xml><?xml version="1.0" encoding="utf-8"?>
<ds:datastoreItem xmlns:ds="http://schemas.openxmlformats.org/officeDocument/2006/customXml" ds:itemID="{4905F1E6-6826-4CAA-A824-2CE167AAB15E}">
  <ds:schemaRefs/>
</ds:datastoreItem>
</file>

<file path=customXml/itemProps4.xml><?xml version="1.0" encoding="utf-8"?>
<ds:datastoreItem xmlns:ds="http://schemas.openxmlformats.org/officeDocument/2006/customXml" ds:itemID="{2DFE1D14-DF8B-45F6-BEF1-C8A1769CBF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3</Pages>
  <Words>447</Words>
  <Characters>2550</Characters>
  <Lines>21</Lines>
  <Paragraphs>5</Paragraphs>
  <TotalTime>105</TotalTime>
  <ScaleCrop>false</ScaleCrop>
  <LinksUpToDate>false</LinksUpToDate>
  <CharactersWithSpaces>2992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2023-04-06T02:28:00Z</dcterms:created>
  <dc:creator>ZTE-Chuangxin</dc:creator>
  <cp:lastModifiedBy>蒋创新</cp:lastModifiedBy>
  <dcterms:modified xsi:type="dcterms:W3CDTF">2023-05-25T22:33:31Z</dcterms:modified>
  <cp:revision>151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KSOProductBuildVer">
    <vt:lpwstr>2052-11.8.2.11718</vt:lpwstr>
  </property>
  <property fmtid="{D5CDD505-2E9C-101B-9397-08002B2CF9AE}" pid="4" name="ICV">
    <vt:lpwstr>FC75E2000FA548BA8381877F39642B5A</vt:lpwstr>
  </property>
</Properties>
</file>